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B53" w:rsidRPr="008A6B53" w:rsidRDefault="008A6B53" w:rsidP="008A6B53">
      <w:pPr>
        <w:spacing w:before="100" w:beforeAutospacing="1" w:after="100" w:afterAutospacing="1"/>
        <w:ind w:left="4962"/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В </w:t>
      </w:r>
      <w:proofErr w:type="spellStart"/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>Арбитражныи</w:t>
      </w:r>
      <w:proofErr w:type="spellEnd"/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̆ суд города Санкт-Петербурга и </w:t>
      </w:r>
      <w:proofErr w:type="spellStart"/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>Ленинградскои</w:t>
      </w:r>
      <w:proofErr w:type="spellEnd"/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̆ области </w:t>
      </w:r>
    </w:p>
    <w:p w:rsidR="008A6B53" w:rsidRPr="008A6B53" w:rsidRDefault="008A6B53" w:rsidP="008A6B53">
      <w:pPr>
        <w:spacing w:before="100" w:beforeAutospacing="1" w:after="100" w:afterAutospacing="1"/>
        <w:ind w:left="4962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Должник: </w:t>
      </w:r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>ФИО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br/>
        <w:t xml:space="preserve">адрес: Адрес должника </w:t>
      </w:r>
    </w:p>
    <w:p w:rsidR="008A6B53" w:rsidRPr="008A6B53" w:rsidRDefault="008A6B53" w:rsidP="008A6B53">
      <w:pPr>
        <w:spacing w:before="100" w:beforeAutospacing="1" w:after="100" w:afterAutospacing="1"/>
        <w:ind w:left="4962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>Кредиторы: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br/>
        <w:t>1. Кредитор 1 (ИНН: __________) Адрес кредитора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br/>
        <w:t>2. Кредитор 2 (ИНН: __________) Адрес кредитора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br/>
        <w:t xml:space="preserve">3. Кредитор 3 (ИНН: __________) Адрес кредитора </w:t>
      </w:r>
    </w:p>
    <w:p w:rsidR="008A6B53" w:rsidRPr="008A6B53" w:rsidRDefault="008A6B53" w:rsidP="008A6B53">
      <w:pPr>
        <w:spacing w:before="100" w:beforeAutospacing="1" w:after="100" w:afterAutospacing="1"/>
        <w:ind w:left="4962"/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</w:pPr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>Госпошлина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: 300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рублеи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̆</w:t>
      </w:r>
      <w:r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  <w:t>.</w:t>
      </w:r>
    </w:p>
    <w:p w:rsidR="008A6B53" w:rsidRPr="008A6B53" w:rsidRDefault="008A6B53" w:rsidP="008A6B53">
      <w:pPr>
        <w:spacing w:before="100" w:beforeAutospacing="1" w:after="100" w:afterAutospacing="1"/>
        <w:jc w:val="center"/>
        <w:rPr>
          <w:rFonts w:ascii="Manrope" w:eastAsia="Times New Roman" w:hAnsi="Manrope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b/>
          <w:bCs/>
          <w:kern w:val="0"/>
          <w:sz w:val="28"/>
          <w:szCs w:val="28"/>
          <w:lang w:eastAsia="ru-RU"/>
          <w14:ligatures w14:val="none"/>
        </w:rPr>
        <w:t>ЗАЯВЛЕНИЕ</w:t>
      </w:r>
      <w:r w:rsidRPr="008A6B53">
        <w:rPr>
          <w:rFonts w:ascii="Manrope" w:eastAsia="Times New Roman" w:hAnsi="Manrope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о признании банкротом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По состоянию на «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__» _____ 202_ года размер денежных обязательств и (или) обязанности по уплате обязательных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платежеи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гражданина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Российскои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Федерации ФИО (дата рождения: __________, место рождения: ____________,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страховои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номер индивидуального лицевого счета: ______________, ИНН ____________, регистрация по месту жительства / фактическое место жительства: ____________________________________________________ (далее по тексту – Должник) составляет _________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рублеи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̆, в том числе: </w:t>
      </w:r>
    </w:p>
    <w:p w:rsidR="008A6B53" w:rsidRPr="008A6B53" w:rsidRDefault="008A6B53" w:rsidP="008A6B53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Задолженность в размере __________ руб. перед Кредитор 1 (основание: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Кредитныи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̆ договор No ___________ от __________)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.</w:t>
      </w:r>
    </w:p>
    <w:p w:rsidR="008A6B53" w:rsidRPr="008A6B53" w:rsidRDefault="008A6B53" w:rsidP="008A6B53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Задолженность в размере __________ руб. перед Кредитор 2 (основание: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Кредитныи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̆ договор No ___________ от __________)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.</w:t>
      </w:r>
    </w:p>
    <w:p w:rsidR="008A6B53" w:rsidRPr="008A6B53" w:rsidRDefault="008A6B53" w:rsidP="008A6B53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Задолженность в размере __________ руб. перед Кредитор 3 (основание: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Кредитныи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̆ договор No ___________ от __________)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.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Должник сообщает суду о наличии у него дебетового счета в ____________________________. Иных открытых счетов на имя Должника не открыто.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В собственности Должника находится следующее имущество: 1.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Имуществом, стоимость которого позволила бы удовлетворить требования кредиторов в полном объеме, Должник не располагает.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Должник совершал следующие сделки за последние три года: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1.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Иных сделок в течение трех лет с недвижимым имуществом, ценными бумагами, долями в уставном капитале, транспортными средствами и сделки на сумму свыше трехсот тысяч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рублеи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Должником не совершались.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Должник не имеет задолженности по возмещению вреда, причиненного жизни или здоровью граждан, выплате компенсации сверх возмещения вреда, оплате труда работников должника и выплате им выходных пособий. Вознаграждение авторов результатов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интеллектуальнои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деятельности отсутствует.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Должник не является индивидуальным предпринимателем, как и руководителем или участником юридических лиц.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Должник не/состоит в браке. На иждивении несовершеннолетних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детеи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не/имеет.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Должник на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данныи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момент официально не/трудоустроен, что подтверждается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электроннои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трудовои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книжкои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Ввиду отсутствия дохода и недостаточности имущества, принадлежащего на праве собственности, Должник не имеет возможности удовлетворить требования кредиторов в полном объеме.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Согласно п. 1 статьи 213.3 Федерального закона от 26.10.2002 N 127-ФЗ «О несостоятельности (банкротстве)» (далее по тексту – Закон) правом на обращение в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арбитражныи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суд с заявлением о признании гражданина банкротом обладают гражданин,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конкурсныи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кредитор,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уполномоченныи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орган.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В соответствии с п. 1 статьи 213.4 Закона гражданин обязан обратиться в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арбитражныи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суд с заявлением о признании его банкротом в случае, если удовлетворение требований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платежеи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в полном объеме перед другими кредиторами и размер таких обязательств и обязанности в совокупности составляет не менее чем пятьсот тысяч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рублеи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̆, не позднее тридцати рабочих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днеи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со дня, когда он узнал или должен был узнать об этом.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В соответствии с п. 2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указаннои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статьи гражданин вправе подать в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арбитражныи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суд заявление о признании его банкротом в случае предвидения банкротства при наличии обстоятельств, очевидно свидетельствующих о том, что он не в состоянии исполнить денежные обязательства и (или) обязанность по уплате обязательных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платежеи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в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установленныи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срок, при этом гражданин отвечает признакам неплатежеспособности и (или) признакам недостаточности имущества.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Согласно п. 8 статьи 213.6 Закона по результатам рассмотрения обоснованности заявления о признании гражданина банкротом, если гражданин не соответствует требованиям для утверждения плана реструктуризации долгов, установленным пунктом 1 статьи 213.13 настоящего Федерального закона,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арбитражныи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суд вправе на 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основании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ходатайства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 гражданина вынести решение о признании его банкротом и введении процедуры реализации имущества гражданина.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В соответствии с п. 1 статьи 213.13 Федерального закона от 26.10.2002 N 127-ФЗ «О несостоятельности (банкротстве)» план реструктуризации долгов гражданина может быть представлен в отношении задолженности гражданина, соответствующего следующим требованиям: </w:t>
      </w:r>
    </w:p>
    <w:p w:rsidR="008A6B53" w:rsidRPr="008A6B53" w:rsidRDefault="008A6B53" w:rsidP="008A6B53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гражданин имеет источник дохода на дату представления плана реструктуризации его долгов; </w:t>
      </w:r>
    </w:p>
    <w:p w:rsidR="008A6B53" w:rsidRPr="008A6B53" w:rsidRDefault="008A6B53" w:rsidP="008A6B53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гражданин не имеет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неснятои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или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непогашеннои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судимости за совершение умышленного преступления в сфере экономики и до даты принятия заявления о признании гражданина банкротом истек срок, в течение которого гражданин считается подвергнутым административному наказанию за мелкое хищение, умышленное уничтожение или повреждение имущества либо за фиктивное или преднамеренное банкротство; </w:t>
      </w:r>
    </w:p>
    <w:p w:rsidR="008A6B53" w:rsidRPr="008A6B53" w:rsidRDefault="008A6B53" w:rsidP="008A6B53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гражданин не признавался банкротом в течение пяти лет, предшествующих представлению плана реструктуризации его долгов; </w:t>
      </w:r>
    </w:p>
    <w:p w:rsidR="008A6B53" w:rsidRPr="008A6B53" w:rsidRDefault="008A6B53" w:rsidP="008A6B53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план реструктуризации долгов гражданина в отношении его задолженности не утверждался в течение восьми лет, предшествующих представлению этого плана.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В настоящее время должник не имеет дохода за счет, которого могла бы быть реализована процедура реструктуризации долгов гражданина.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Согласно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абз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. 2 п. 4 ст. 213.4 Федерального закона от 26 октября 2002 года No 127-ФЗ «О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несостоятельности (банкротстве)», денежные средства на выплату вознаграждения финансовому управляющему в размере, равном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фиксированнои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сумме вознаграждения финансового управляющего за одну процедуру, применяемую в деле о банкротстве гражданина, вносятся должником в депозит арбитражного суда.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По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ходатайству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 гражданина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арбитражныи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̆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 (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абз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. 3 п. 4 ст. 213.4 Закона о банкротстве). </w:t>
      </w:r>
    </w:p>
    <w:p w:rsid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В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настоящии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̆ момент финансовое положение Должника не позволяет ему исполнить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 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обязанность по внесению на депозит арбитражного суда денежных средств на выплату вознаграждения финансовому управляющему. Личного дохода Должника хватает только на покупку продуктов питания и предметов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первои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необходимости. Однако Должник имеет ликвидное имущество, с которого будут покрыты расходы на проведение процедуры банкротства.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На основании вышеизложенного и руководствуясь ст. ст. 213.3, 213.4, п.8 ст. 213.6, п. 1 ст. 213.13 Федерального закона от 26.10.2002 N 127-ФЗ «О несостоятельности 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lastRenderedPageBreak/>
        <w:t xml:space="preserve">(банкротстве)», ст. ст. 223 - 224 Арбитражного процессуального кодекса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Российскои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Федерации, </w:t>
      </w:r>
    </w:p>
    <w:p w:rsidR="008A6B53" w:rsidRDefault="008A6B53">
      <w:pPr>
        <w:rPr>
          <w:rFonts w:ascii="Manrope" w:eastAsia="Times New Roman" w:hAnsi="Manrope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Manrope" w:eastAsia="Times New Roman" w:hAnsi="Manrope" w:cs="Times New Roman"/>
          <w:b/>
          <w:bCs/>
          <w:kern w:val="0"/>
          <w:sz w:val="28"/>
          <w:szCs w:val="28"/>
          <w:lang w:eastAsia="ru-RU"/>
          <w14:ligatures w14:val="none"/>
        </w:rPr>
        <w:br w:type="page"/>
      </w:r>
    </w:p>
    <w:p w:rsidR="008A6B53" w:rsidRPr="008A6B53" w:rsidRDefault="008A6B53" w:rsidP="008A6B53">
      <w:pPr>
        <w:spacing w:before="100" w:beforeAutospacing="1" w:after="100" w:afterAutospacing="1"/>
        <w:jc w:val="center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ПРОШУ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:</w:t>
      </w:r>
    </w:p>
    <w:p w:rsidR="008A6B53" w:rsidRPr="008A6B53" w:rsidRDefault="008A6B53" w:rsidP="008A6B5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Признать гражданина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Российскои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Федерации ФИО дата рождения: __________, место рождения: ____________,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страховои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номер индивидуального лицевого счета: ______________, ИНН ____________, регистрация по месту жительства / фактическое место жительства: ____________________________________________________, несостоятельным (банкротом) и ввести в отношении нее процедуру реализации имущества гражданина. </w:t>
      </w:r>
    </w:p>
    <w:p w:rsidR="008A6B53" w:rsidRPr="008A6B53" w:rsidRDefault="008A6B53" w:rsidP="008A6B5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Утвердить финансового управляющего из числа членов АССОЦИАЦИЯ "САМОРЕГУЛИРУЕМАЯ ОРГАНИЗАЦИЯ АРБИТРАЖНЫХ УПРАВЛЯЮЩИХ ЦЕНТРАЛЬНОГО ФЕДЕРАЛЬНОГО ОКРУГА", ОГРН:1027700542209ИНН:7705431418, Адрес: 115191, г Москва, МУНИЦИПАЛЬНЫЙ ОКРУГ ДАНИЛОВСКИЙ ВН.ТЕР.Г., г. Москва, </w:t>
      </w:r>
      <w:proofErr w:type="spellStart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Гамсоновскии</w:t>
      </w:r>
      <w:proofErr w:type="spellEnd"/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̆ пер., д. 2, этаж 1, ком. 85. </w:t>
      </w:r>
    </w:p>
    <w:p w:rsidR="008A6B53" w:rsidRPr="008A6B53" w:rsidRDefault="008A6B53" w:rsidP="008A6B53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Предоставить отсрочку уплаты в депозит арбитражного суда денежных средств на выплату вознаграждения финансовому управляющему до даты судебного заседания по рассмотрению обоснованности заявления о признании гражданина банкротом.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</w:pPr>
      <w:r w:rsidRPr="008A6B53">
        <w:rPr>
          <w:rFonts w:ascii="Manrope" w:eastAsia="Times New Roman" w:hAnsi="Manrope" w:cs="Times New Roman"/>
          <w:b/>
          <w:bCs/>
          <w:kern w:val="0"/>
          <w:sz w:val="22"/>
          <w:szCs w:val="22"/>
          <w:lang w:eastAsia="ru-RU"/>
          <w14:ligatures w14:val="none"/>
        </w:rPr>
        <w:t xml:space="preserve">Приложения: </w:t>
      </w:r>
    </w:p>
    <w:p w:rsidR="008A6B53" w:rsidRPr="008A6B53" w:rsidRDefault="008A6B53" w:rsidP="008A6B53">
      <w:pPr>
        <w:spacing w:before="100" w:beforeAutospacing="1" w:after="100" w:afterAutospacing="1"/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</w:pPr>
      <w:proofErr w:type="gramStart"/>
      <w:r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  <w:t xml:space="preserve">“  </w:t>
      </w:r>
      <w:proofErr w:type="gramEnd"/>
      <w:r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  <w:t xml:space="preserve">  ”  _________ 202__</w:t>
      </w:r>
      <w:r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г. </w:t>
      </w:r>
      <w:r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  <w:t>//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>___________________</w:t>
      </w:r>
      <w:r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  <w:t xml:space="preserve"> 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/ </w:t>
      </w:r>
      <w:r>
        <w:rPr>
          <w:rFonts w:ascii="Manrope" w:eastAsia="Times New Roman" w:hAnsi="Manrope" w:cs="Times New Roman"/>
          <w:kern w:val="0"/>
          <w:sz w:val="22"/>
          <w:szCs w:val="22"/>
          <w:lang w:val="en-US" w:eastAsia="ru-RU"/>
          <w14:ligatures w14:val="none"/>
        </w:rPr>
        <w:t>________________________</w:t>
      </w:r>
      <w:r w:rsidRPr="008A6B53">
        <w:rPr>
          <w:rFonts w:ascii="Manrope" w:eastAsia="Times New Roman" w:hAnsi="Manrope" w:cs="Times New Roman"/>
          <w:kern w:val="0"/>
          <w:sz w:val="22"/>
          <w:szCs w:val="22"/>
          <w:lang w:eastAsia="ru-RU"/>
          <w14:ligatures w14:val="none"/>
        </w:rPr>
        <w:t xml:space="preserve"> </w:t>
      </w:r>
    </w:p>
    <w:p w:rsidR="008A6B53" w:rsidRPr="008A6B53" w:rsidRDefault="008A6B53">
      <w:pPr>
        <w:rPr>
          <w:rFonts w:ascii="Manrope" w:hAnsi="Manrope"/>
          <w:sz w:val="22"/>
          <w:szCs w:val="22"/>
        </w:rPr>
      </w:pPr>
    </w:p>
    <w:sectPr w:rsidR="008A6B53" w:rsidRPr="008A6B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0D50" w:rsidRDefault="00060D50" w:rsidP="008A6B53">
      <w:r>
        <w:separator/>
      </w:r>
    </w:p>
  </w:endnote>
  <w:endnote w:type="continuationSeparator" w:id="0">
    <w:p w:rsidR="00060D50" w:rsidRDefault="00060D50" w:rsidP="008A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6B53" w:rsidRDefault="008A6B53"/>
  <w:tbl>
    <w:tblPr>
      <w:tblStyle w:val="1"/>
      <w:tblW w:w="15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4253"/>
      <w:gridCol w:w="7371"/>
    </w:tblGrid>
    <w:tr w:rsidR="008A6B53" w:rsidRPr="00AA2D54" w:rsidTr="008A6B53">
      <w:tc>
        <w:tcPr>
          <w:tcW w:w="3402" w:type="dxa"/>
        </w:tcPr>
        <w:p w:rsidR="008A6B53" w:rsidRPr="00AA2D54" w:rsidRDefault="008A6B53" w:rsidP="008A6B53">
          <w:pPr>
            <w:tabs>
              <w:tab w:val="center" w:pos="4677"/>
              <w:tab w:val="right" w:pos="9355"/>
            </w:tabs>
            <w:suppressAutoHyphens/>
            <w:rPr>
              <w:rFonts w:eastAsia="Times New Roman"/>
              <w:sz w:val="24"/>
              <w:szCs w:val="24"/>
            </w:rPr>
          </w:pPr>
          <w:r w:rsidRPr="00AA2D54">
            <w:rPr>
              <w:rFonts w:ascii="Manrope" w:eastAsia="Times New Roman" w:hAnsi="Manrope"/>
              <w:noProof/>
              <w:sz w:val="18"/>
              <w:szCs w:val="18"/>
              <w:lang w:val="en-US"/>
            </w:rPr>
            <w:drawing>
              <wp:inline distT="0" distB="0" distL="0" distR="0" wp14:anchorId="2707983E" wp14:editId="69684E6C">
                <wp:extent cx="1391449" cy="342000"/>
                <wp:effectExtent l="0" t="0" r="0" b="1270"/>
                <wp:docPr id="178008342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083427" name="Рисунок 178008342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449" cy="34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Align w:val="center"/>
        </w:tcPr>
        <w:p w:rsidR="008A6B53" w:rsidRPr="00AA2D54" w:rsidRDefault="008A6B53" w:rsidP="008A6B53">
          <w:pPr>
            <w:tabs>
              <w:tab w:val="center" w:pos="4677"/>
              <w:tab w:val="right" w:pos="9355"/>
            </w:tabs>
            <w:suppressAutoHyphens/>
            <w:rPr>
              <w:rFonts w:ascii="Manrope" w:eastAsia="Times New Roman" w:hAnsi="Manrope"/>
              <w:sz w:val="18"/>
              <w:szCs w:val="18"/>
            </w:rPr>
          </w:pPr>
          <w:r w:rsidRPr="00AA2D54">
            <w:rPr>
              <w:rFonts w:ascii="Manrope" w:eastAsia="Times New Roman" w:hAnsi="Manrope"/>
              <w:sz w:val="18"/>
              <w:szCs w:val="18"/>
            </w:rPr>
            <w:t>Всегда актуальная версия</w:t>
          </w:r>
        </w:p>
        <w:p w:rsidR="008A6B53" w:rsidRPr="00AA2D54" w:rsidRDefault="008A6B53" w:rsidP="008A6B53">
          <w:pPr>
            <w:tabs>
              <w:tab w:val="center" w:pos="4677"/>
              <w:tab w:val="right" w:pos="9355"/>
            </w:tabs>
            <w:suppressAutoHyphens/>
            <w:rPr>
              <w:rFonts w:ascii="Manrope" w:eastAsia="Times New Roman" w:hAnsi="Manrope"/>
            </w:rPr>
          </w:pPr>
          <w:hyperlink r:id="rId2" w:history="1">
            <w:r w:rsidRPr="00AA2D54">
              <w:rPr>
                <w:rFonts w:ascii="Manrope" w:eastAsia="Times New Roman" w:hAnsi="Manrope"/>
                <w:b/>
                <w:color w:val="22974B"/>
                <w:sz w:val="18"/>
                <w:szCs w:val="18"/>
                <w:u w:val="single"/>
              </w:rPr>
              <w:t>по ссылке</w:t>
            </w:r>
          </w:hyperlink>
          <w:r w:rsidRPr="00AA2D54">
            <w:rPr>
              <w:rFonts w:ascii="Manrope" w:eastAsia="Times New Roman" w:hAnsi="Manrope"/>
              <w:color w:val="22974B"/>
              <w:sz w:val="18"/>
              <w:szCs w:val="18"/>
            </w:rPr>
            <w:t xml:space="preserve"> </w:t>
          </w:r>
          <w:r w:rsidRPr="00AA2D54">
            <w:rPr>
              <w:rFonts w:ascii="Manrope" w:eastAsia="Times New Roman" w:hAnsi="Manrope"/>
              <w:sz w:val="18"/>
              <w:szCs w:val="18"/>
            </w:rPr>
            <w:t xml:space="preserve">и на сайте </w:t>
          </w:r>
          <w:hyperlink r:id="rId3" w:history="1">
            <w:proofErr w:type="spellStart"/>
            <w:r w:rsidRPr="00AA2D54">
              <w:rPr>
                <w:rFonts w:ascii="Manrope" w:eastAsia="Times New Roman" w:hAnsi="Manrope"/>
                <w:b/>
                <w:color w:val="22974B"/>
                <w:sz w:val="18"/>
                <w:szCs w:val="18"/>
                <w:u w:val="single"/>
                <w:lang w:val="en-US"/>
              </w:rPr>
              <w:t>laptova</w:t>
            </w:r>
            <w:proofErr w:type="spellEnd"/>
            <w:r w:rsidRPr="00AA2D54">
              <w:rPr>
                <w:rFonts w:ascii="Manrope" w:eastAsia="Times New Roman" w:hAnsi="Manrope"/>
                <w:b/>
                <w:color w:val="22974B"/>
                <w:sz w:val="18"/>
                <w:szCs w:val="18"/>
                <w:u w:val="single"/>
              </w:rPr>
              <w:t>.</w:t>
            </w:r>
            <w:proofErr w:type="spellStart"/>
            <w:r w:rsidRPr="00AA2D54">
              <w:rPr>
                <w:rFonts w:ascii="Manrope" w:eastAsia="Times New Roman" w:hAnsi="Manrope"/>
                <w:b/>
                <w:color w:val="22974B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hyperlink>
        </w:p>
      </w:tc>
      <w:tc>
        <w:tcPr>
          <w:tcW w:w="7371" w:type="dxa"/>
          <w:vAlign w:val="center"/>
        </w:tcPr>
        <w:p w:rsidR="008A6B53" w:rsidRPr="00AA2D54" w:rsidRDefault="008A6B53" w:rsidP="008A6B53">
          <w:pPr>
            <w:tabs>
              <w:tab w:val="center" w:pos="4677"/>
              <w:tab w:val="right" w:pos="9355"/>
            </w:tabs>
            <w:suppressAutoHyphens/>
            <w:rPr>
              <w:rFonts w:ascii="Manrope" w:eastAsia="Times New Roman" w:hAnsi="Manrope"/>
              <w:color w:val="000000"/>
              <w:sz w:val="18"/>
              <w:szCs w:val="18"/>
            </w:rPr>
          </w:pPr>
          <w:r w:rsidRPr="00AA2D54">
            <w:rPr>
              <w:rFonts w:ascii="Manrope" w:eastAsia="Times New Roman" w:hAnsi="Manrope"/>
              <w:color w:val="000000"/>
              <w:sz w:val="18"/>
              <w:szCs w:val="18"/>
            </w:rPr>
            <w:t xml:space="preserve">© </w:t>
          </w:r>
          <w:proofErr w:type="spellStart"/>
          <w:r w:rsidRPr="00AA2D54">
            <w:rPr>
              <w:rFonts w:ascii="Manrope" w:eastAsia="Times New Roman" w:hAnsi="Manrope"/>
              <w:color w:val="000000"/>
              <w:sz w:val="18"/>
              <w:szCs w:val="18"/>
            </w:rPr>
            <w:t>Лаптова</w:t>
          </w:r>
          <w:proofErr w:type="spellEnd"/>
          <w:r w:rsidRPr="00AA2D54">
            <w:rPr>
              <w:rFonts w:ascii="Manrope" w:eastAsia="Times New Roman" w:hAnsi="Manrope"/>
              <w:color w:val="000000"/>
              <w:sz w:val="18"/>
              <w:szCs w:val="18"/>
            </w:rPr>
            <w:t xml:space="preserve"> И. С.</w:t>
          </w:r>
        </w:p>
        <w:p w:rsidR="008A6B53" w:rsidRPr="00AA2D54" w:rsidRDefault="008A6B53" w:rsidP="008A6B53">
          <w:pPr>
            <w:tabs>
              <w:tab w:val="center" w:pos="4677"/>
              <w:tab w:val="right" w:pos="9355"/>
            </w:tabs>
            <w:suppressAutoHyphens/>
            <w:rPr>
              <w:rFonts w:ascii="Manrope" w:eastAsia="Times New Roman" w:hAnsi="Manrope"/>
              <w:sz w:val="18"/>
              <w:szCs w:val="18"/>
            </w:rPr>
          </w:pPr>
          <w:r w:rsidRPr="00AA2D54">
            <w:rPr>
              <w:rFonts w:ascii="Manrope" w:eastAsia="Times New Roman" w:hAnsi="Manrope"/>
              <w:sz w:val="18"/>
              <w:szCs w:val="18"/>
              <w:lang w:val="en-US"/>
            </w:rPr>
            <w:t>v</w:t>
          </w:r>
          <w:r w:rsidRPr="00AA2D54">
            <w:rPr>
              <w:rFonts w:ascii="Manrope" w:eastAsia="Times New Roman" w:hAnsi="Manrope"/>
              <w:sz w:val="18"/>
              <w:szCs w:val="18"/>
            </w:rPr>
            <w:t>.1.2. от 06.06.2024</w:t>
          </w:r>
        </w:p>
      </w:tc>
    </w:tr>
  </w:tbl>
  <w:p w:rsidR="008A6B53" w:rsidRPr="008A6B53" w:rsidRDefault="008A6B53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0D50" w:rsidRDefault="00060D50" w:rsidP="008A6B53">
      <w:r>
        <w:separator/>
      </w:r>
    </w:p>
  </w:footnote>
  <w:footnote w:type="continuationSeparator" w:id="0">
    <w:p w:rsidR="00060D50" w:rsidRDefault="00060D50" w:rsidP="008A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269A6"/>
    <w:multiLevelType w:val="hybridMultilevel"/>
    <w:tmpl w:val="3D02F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35D26"/>
    <w:multiLevelType w:val="hybridMultilevel"/>
    <w:tmpl w:val="A3EA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43380"/>
    <w:multiLevelType w:val="hybridMultilevel"/>
    <w:tmpl w:val="EEEA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32408"/>
    <w:multiLevelType w:val="hybridMultilevel"/>
    <w:tmpl w:val="F5D4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72187">
    <w:abstractNumId w:val="3"/>
  </w:num>
  <w:num w:numId="2" w16cid:durableId="602999886">
    <w:abstractNumId w:val="1"/>
  </w:num>
  <w:num w:numId="3" w16cid:durableId="1203127743">
    <w:abstractNumId w:val="2"/>
  </w:num>
  <w:num w:numId="4" w16cid:durableId="48517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53"/>
    <w:rsid w:val="00060D50"/>
    <w:rsid w:val="000C23DB"/>
    <w:rsid w:val="008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61180"/>
  <w15:chartTrackingRefBased/>
  <w15:docId w15:val="{CBA134ED-896C-6E4B-AB09-268D2F7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B5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A6B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A6B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6B53"/>
  </w:style>
  <w:style w:type="paragraph" w:styleId="a7">
    <w:name w:val="footer"/>
    <w:basedOn w:val="a"/>
    <w:link w:val="a8"/>
    <w:uiPriority w:val="99"/>
    <w:unhideWhenUsed/>
    <w:rsid w:val="008A6B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6B53"/>
  </w:style>
  <w:style w:type="table" w:customStyle="1" w:styleId="1">
    <w:name w:val="Сетка таблицы1"/>
    <w:basedOn w:val="a1"/>
    <w:next w:val="a9"/>
    <w:uiPriority w:val="59"/>
    <w:rsid w:val="008A6B53"/>
    <w:rPr>
      <w:rFonts w:eastAsia="Calibri" w:cs="Calibri"/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A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3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9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8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aptova.ru/" TargetMode="External"/><Relationship Id="rId2" Type="http://schemas.openxmlformats.org/officeDocument/2006/relationships/hyperlink" Target="https://laptova.ru/journal/kakie-dokumenty-nuzhny-dly-bankrotstva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Петров</dc:creator>
  <cp:keywords/>
  <dc:description/>
  <cp:lastModifiedBy>Анатолий Петров</cp:lastModifiedBy>
  <cp:revision>1</cp:revision>
  <dcterms:created xsi:type="dcterms:W3CDTF">2024-06-03T19:52:00Z</dcterms:created>
  <dcterms:modified xsi:type="dcterms:W3CDTF">2024-06-03T19:59:00Z</dcterms:modified>
</cp:coreProperties>
</file>